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contextualSpacing/>
        <w:jc w:val="both"/>
        <w:textAlignment w:val="auto"/>
        <w:rPr>
          <w:rFonts w:hint="eastAsia" w:ascii="仿宋_GB2312" w:hAnsi="仿宋_GB2312" w:eastAsia="仿宋_GB2312" w:cs="仿宋_GB2312"/>
          <w:b w:val="0"/>
          <w:bCs w:val="0"/>
          <w:color w:val="auto"/>
          <w:spacing w:val="0"/>
          <w:sz w:val="32"/>
          <w:szCs w:val="32"/>
          <w:lang w:val="en-US" w:eastAsia="zh-CN"/>
        </w:rPr>
      </w:pPr>
      <w:bookmarkStart w:id="1" w:name="_GoBack"/>
      <w:r>
        <w:rPr>
          <w:rFonts w:hint="eastAsia" w:ascii="仿宋_GB2312" w:hAnsi="仿宋_GB2312" w:eastAsia="仿宋_GB2312" w:cs="仿宋_GB2312"/>
          <w:b w:val="0"/>
          <w:bCs w:val="0"/>
          <w:color w:val="auto"/>
          <w:spacing w:val="0"/>
          <w:sz w:val="32"/>
          <w:szCs w:val="32"/>
          <w:lang w:val="en-US" w:eastAsia="zh-CN"/>
        </w:rPr>
        <w:t>附件</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 w:val="0"/>
          <w:bCs w:val="0"/>
          <w:color w:val="auto"/>
          <w:spacing w:val="0"/>
          <w:sz w:val="44"/>
          <w:szCs w:val="44"/>
          <w:u w:val="none"/>
          <w:lang w:eastAsia="zh-CN"/>
        </w:rPr>
      </w:pPr>
      <w:bookmarkStart w:id="0" w:name="OLE_LINK2"/>
      <w:r>
        <w:rPr>
          <w:rFonts w:hint="eastAsia" w:ascii="方正小标宋简体" w:hAnsi="方正小标宋简体" w:eastAsia="方正小标宋简体" w:cs="方正小标宋简体"/>
          <w:b w:val="0"/>
          <w:bCs w:val="0"/>
          <w:color w:val="auto"/>
          <w:spacing w:val="0"/>
          <w:sz w:val="44"/>
          <w:szCs w:val="44"/>
          <w:u w:val="none"/>
          <w:lang w:eastAsia="zh-CN"/>
        </w:rPr>
        <w:t>北京会展产业集聚区发展计划及重点会展场馆发展定位</w:t>
      </w:r>
      <w:bookmarkEnd w:id="0"/>
    </w:p>
    <w:p>
      <w:pPr>
        <w:pStyle w:val="5"/>
        <w:keepNext w:val="0"/>
        <w:keepLines w:val="0"/>
        <w:pageBreakBefore w:val="0"/>
        <w:widowControl w:val="0"/>
        <w:kinsoku/>
        <w:wordWrap/>
        <w:overflowPunct/>
        <w:topLinePunct w:val="0"/>
        <w:autoSpaceDE/>
        <w:autoSpaceDN/>
        <w:bidi w:val="0"/>
        <w:adjustRightInd/>
        <w:snapToGrid/>
        <w:spacing w:after="0" w:line="560" w:lineRule="exact"/>
        <w:ind w:firstLine="628" w:firstLineChars="200"/>
        <w:textAlignment w:val="auto"/>
        <w:rPr>
          <w:rFonts w:hint="eastAsia" w:ascii="黑体" w:hAnsi="黑体" w:eastAsia="黑体" w:cs="黑体"/>
          <w:spacing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国标黑体" w:hAnsi="国标黑体" w:eastAsia="国标黑体" w:cs="国标黑体"/>
          <w:b w:val="0"/>
          <w:bCs w:val="0"/>
          <w:color w:val="auto"/>
          <w:kern w:val="2"/>
          <w:sz w:val="32"/>
          <w:szCs w:val="32"/>
          <w:u w:val="none"/>
          <w:lang w:val="en-US" w:eastAsia="zh-CN" w:bidi="ar-SA"/>
        </w:rPr>
      </w:pPr>
      <w:r>
        <w:rPr>
          <w:rFonts w:hint="eastAsia" w:ascii="国标黑体" w:hAnsi="国标黑体" w:eastAsia="国标黑体" w:cs="国标黑体"/>
          <w:b w:val="0"/>
          <w:bCs w:val="0"/>
          <w:color w:val="auto"/>
          <w:kern w:val="2"/>
          <w:sz w:val="32"/>
          <w:szCs w:val="32"/>
          <w:u w:val="none"/>
          <w:lang w:val="en-US" w:eastAsia="zh-CN" w:bidi="ar-SA"/>
        </w:rPr>
        <w:t>一、北京会展产业集聚区发展计划</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楷体_GB2312" w:hAnsi="楷体_GB2312" w:eastAsia="楷体_GB2312" w:cs="楷体_GB2312"/>
          <w:b w:val="0"/>
          <w:bCs w:val="0"/>
          <w:color w:val="auto"/>
          <w:sz w:val="32"/>
          <w:szCs w:val="32"/>
          <w:u w:val="none"/>
          <w:lang w:val="en-US"/>
        </w:rPr>
      </w:pPr>
      <w:r>
        <w:rPr>
          <w:rFonts w:hint="eastAsia" w:ascii="楷体_GB2312" w:hAnsi="楷体_GB2312" w:eastAsia="楷体_GB2312" w:cs="楷体_GB2312"/>
          <w:b w:val="0"/>
          <w:bCs w:val="0"/>
          <w:color w:val="auto"/>
          <w:sz w:val="32"/>
          <w:szCs w:val="32"/>
          <w:u w:val="none"/>
          <w:lang w:val="en-US" w:eastAsia="zh-CN"/>
        </w:rPr>
        <w:t>1.</w:t>
      </w:r>
      <w:r>
        <w:rPr>
          <w:rFonts w:hint="eastAsia" w:ascii="楷体_GB2312" w:hAnsi="楷体_GB2312" w:eastAsia="楷体_GB2312" w:cs="楷体_GB2312"/>
          <w:b w:val="0"/>
          <w:bCs w:val="0"/>
          <w:color w:val="auto"/>
          <w:sz w:val="32"/>
          <w:szCs w:val="32"/>
          <w:u w:val="none"/>
          <w:lang w:val="en-US"/>
        </w:rPr>
        <w:t>北京</w:t>
      </w:r>
      <w:r>
        <w:rPr>
          <w:rFonts w:hint="eastAsia" w:ascii="楷体_GB2312" w:hAnsi="楷体_GB2312" w:eastAsia="楷体_GB2312" w:cs="楷体_GB2312"/>
          <w:b w:val="0"/>
          <w:bCs w:val="0"/>
          <w:color w:val="auto"/>
          <w:sz w:val="32"/>
          <w:szCs w:val="32"/>
          <w:u w:val="none"/>
          <w:lang w:val="en-US" w:eastAsia="zh-CN"/>
        </w:rPr>
        <w:t>（</w:t>
      </w:r>
      <w:r>
        <w:rPr>
          <w:rFonts w:hint="eastAsia" w:ascii="楷体_GB2312" w:hAnsi="楷体_GB2312" w:eastAsia="楷体_GB2312" w:cs="楷体_GB2312"/>
          <w:b w:val="0"/>
          <w:bCs w:val="0"/>
          <w:color w:val="auto"/>
          <w:sz w:val="32"/>
          <w:szCs w:val="32"/>
          <w:u w:val="none"/>
          <w:lang w:val="en-US"/>
        </w:rPr>
        <w:t>顺义</w:t>
      </w:r>
      <w:r>
        <w:rPr>
          <w:rFonts w:hint="eastAsia" w:ascii="楷体_GB2312" w:hAnsi="楷体_GB2312" w:eastAsia="楷体_GB2312" w:cs="楷体_GB2312"/>
          <w:b w:val="0"/>
          <w:bCs w:val="0"/>
          <w:color w:val="auto"/>
          <w:sz w:val="32"/>
          <w:szCs w:val="32"/>
          <w:u w:val="none"/>
          <w:lang w:val="en-US" w:eastAsia="zh-CN"/>
        </w:rPr>
        <w:t>）</w:t>
      </w:r>
      <w:r>
        <w:rPr>
          <w:rFonts w:hint="eastAsia" w:ascii="楷体_GB2312" w:hAnsi="楷体_GB2312" w:eastAsia="楷体_GB2312" w:cs="楷体_GB2312"/>
          <w:b w:val="0"/>
          <w:bCs w:val="0"/>
          <w:color w:val="auto"/>
          <w:sz w:val="32"/>
          <w:szCs w:val="32"/>
          <w:u w:val="none"/>
          <w:lang w:val="en-US"/>
        </w:rPr>
        <w:t>国际会展产业集聚区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b w:val="0"/>
          <w:bCs w:val="0"/>
          <w:color w:val="auto"/>
          <w:sz w:val="32"/>
          <w:szCs w:val="32"/>
          <w:u w:val="none"/>
          <w:lang w:val="en-US"/>
        </w:rPr>
        <w:t>以新国展会展场馆为核心，辐射周边2公里范围，分三期规划建设“会展+配套”产业生态圈。其中，</w:t>
      </w:r>
      <w:r>
        <w:rPr>
          <w:rFonts w:hint="eastAsia" w:ascii="仿宋_GB2312" w:hAnsi="仿宋_GB2312" w:eastAsia="仿宋_GB2312" w:cs="仿宋_GB2312"/>
          <w:b w:val="0"/>
          <w:bCs w:val="0"/>
          <w:color w:val="auto"/>
          <w:sz w:val="32"/>
          <w:szCs w:val="32"/>
          <w:u w:val="none"/>
          <w:lang w:val="en-US" w:eastAsia="zh-CN"/>
        </w:rPr>
        <w:t>新国展</w:t>
      </w:r>
      <w:r>
        <w:rPr>
          <w:rFonts w:hint="eastAsia" w:ascii="仿宋_GB2312" w:hAnsi="仿宋_GB2312" w:eastAsia="仿宋_GB2312" w:cs="仿宋_GB2312"/>
          <w:b w:val="0"/>
          <w:bCs w:val="0"/>
          <w:color w:val="auto"/>
          <w:sz w:val="32"/>
          <w:szCs w:val="32"/>
          <w:u w:val="none"/>
          <w:lang w:val="en-US"/>
        </w:rPr>
        <w:t>一期场馆中国国际展览中心（顺义馆）及二期场馆首都国际会展中心比邻而建，集“展览+会议+住宿+商业”功能为一体，共同构成室内展览面积超31万平方米、建筑面积超80万平方米的会展综合体，三期规划建筑规模约85万平方米的商业</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商务等配套服务功能。一、二、三期功能联动、优势互补，构建“一核一带”产业空间布局，打造链接全球资源、驱动产业升级的会展经济生态，着力推进“产业提质与生态构建”协同发展。</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b w:val="0"/>
          <w:bCs w:val="0"/>
          <w:color w:val="auto"/>
          <w:sz w:val="32"/>
          <w:szCs w:val="32"/>
          <w:u w:val="none"/>
          <w:lang w:val="en-US"/>
        </w:rPr>
        <w:t>持续强化招展引会与产业集聚，培育引进与首都</w:t>
      </w:r>
      <w:r>
        <w:rPr>
          <w:rFonts w:hint="eastAsia" w:ascii="仿宋_GB2312" w:hAnsi="仿宋_GB2312" w:eastAsia="仿宋_GB2312" w:cs="仿宋_GB2312"/>
          <w:b w:val="0"/>
          <w:bCs w:val="0"/>
          <w:color w:val="auto"/>
          <w:sz w:val="32"/>
          <w:szCs w:val="32"/>
          <w:u w:val="none"/>
          <w:lang w:val="en-US" w:eastAsia="zh-CN"/>
        </w:rPr>
        <w:t>城市</w:t>
      </w:r>
      <w:r>
        <w:rPr>
          <w:rFonts w:hint="eastAsia" w:ascii="仿宋_GB2312" w:hAnsi="仿宋_GB2312" w:eastAsia="仿宋_GB2312" w:cs="仿宋_GB2312"/>
          <w:b w:val="0"/>
          <w:bCs w:val="0"/>
          <w:color w:val="auto"/>
          <w:sz w:val="32"/>
          <w:szCs w:val="32"/>
          <w:u w:val="none"/>
          <w:lang w:val="en-US"/>
        </w:rPr>
        <w:t>战略</w:t>
      </w:r>
      <w:r>
        <w:rPr>
          <w:rFonts w:hint="eastAsia" w:ascii="仿宋_GB2312" w:hAnsi="仿宋_GB2312" w:eastAsia="仿宋_GB2312" w:cs="仿宋_GB2312"/>
          <w:b w:val="0"/>
          <w:bCs w:val="0"/>
          <w:color w:val="auto"/>
          <w:sz w:val="32"/>
          <w:szCs w:val="32"/>
          <w:u w:val="none"/>
          <w:lang w:val="en-US" w:eastAsia="zh-CN"/>
        </w:rPr>
        <w:t>定位相</w:t>
      </w:r>
      <w:r>
        <w:rPr>
          <w:rFonts w:hint="eastAsia" w:ascii="仿宋_GB2312" w:hAnsi="仿宋_GB2312" w:eastAsia="仿宋_GB2312" w:cs="仿宋_GB2312"/>
          <w:b w:val="0"/>
          <w:bCs w:val="0"/>
          <w:color w:val="auto"/>
          <w:sz w:val="32"/>
          <w:szCs w:val="32"/>
          <w:u w:val="none"/>
          <w:lang w:val="en-US"/>
        </w:rPr>
        <w:t>契合的国际展、专业展与新兴展；同步建设会展产业园区，吸引国际组展机构、高端策展与服务企业集聚，延伸“会、</w:t>
      </w:r>
      <w:r>
        <w:rPr>
          <w:rFonts w:hint="eastAsia" w:ascii="仿宋_GB2312" w:hAnsi="仿宋_GB2312" w:eastAsia="仿宋_GB2312" w:cs="仿宋_GB2312"/>
          <w:b w:val="0"/>
          <w:bCs w:val="0"/>
          <w:color w:val="auto"/>
          <w:sz w:val="32"/>
          <w:szCs w:val="32"/>
          <w:u w:val="none"/>
          <w:lang w:val="en-US" w:eastAsia="zh-CN"/>
        </w:rPr>
        <w:t>展、</w:t>
      </w:r>
      <w:r>
        <w:rPr>
          <w:rFonts w:hint="eastAsia" w:ascii="仿宋_GB2312" w:hAnsi="仿宋_GB2312" w:eastAsia="仿宋_GB2312" w:cs="仿宋_GB2312"/>
          <w:b w:val="0"/>
          <w:bCs w:val="0"/>
          <w:color w:val="auto"/>
          <w:sz w:val="32"/>
          <w:szCs w:val="32"/>
          <w:u w:val="none"/>
          <w:lang w:val="en-US"/>
        </w:rPr>
        <w:t>奖、节、赛、演、商、旅”融合链条。着力打造“会展友好型城市”环境，</w:t>
      </w:r>
      <w:r>
        <w:rPr>
          <w:rFonts w:hint="eastAsia" w:ascii="仿宋_GB2312" w:hAnsi="仿宋_GB2312" w:eastAsia="仿宋_GB2312" w:cs="仿宋_GB2312"/>
          <w:b w:val="0"/>
          <w:bCs w:val="0"/>
          <w:color w:val="auto"/>
          <w:sz w:val="32"/>
          <w:szCs w:val="32"/>
          <w:u w:val="none"/>
          <w:lang w:val="en-US" w:eastAsia="zh-CN"/>
        </w:rPr>
        <w:t>依托</w:t>
      </w:r>
      <w:r>
        <w:rPr>
          <w:rFonts w:hint="eastAsia" w:ascii="仿宋_GB2312" w:hAnsi="仿宋_GB2312" w:eastAsia="仿宋_GB2312" w:cs="仿宋_GB2312"/>
          <w:b w:val="0"/>
          <w:bCs w:val="0"/>
          <w:color w:val="auto"/>
          <w:sz w:val="32"/>
          <w:szCs w:val="32"/>
          <w:u w:val="none"/>
          <w:lang w:val="en-US"/>
        </w:rPr>
        <w:t>三期</w:t>
      </w:r>
      <w:r>
        <w:rPr>
          <w:rFonts w:hint="eastAsia" w:ascii="仿宋_GB2312" w:hAnsi="仿宋_GB2312" w:eastAsia="仿宋_GB2312" w:cs="仿宋_GB2312"/>
          <w:b w:val="0"/>
          <w:bCs w:val="0"/>
          <w:color w:val="auto"/>
          <w:sz w:val="32"/>
          <w:szCs w:val="32"/>
          <w:u w:val="none"/>
          <w:lang w:val="en-US" w:eastAsia="zh-CN"/>
        </w:rPr>
        <w:t>规划</w:t>
      </w:r>
      <w:r>
        <w:rPr>
          <w:rFonts w:hint="eastAsia" w:ascii="仿宋_GB2312" w:hAnsi="仿宋_GB2312" w:eastAsia="仿宋_GB2312" w:cs="仿宋_GB2312"/>
          <w:b w:val="0"/>
          <w:bCs w:val="0"/>
          <w:color w:val="auto"/>
          <w:sz w:val="32"/>
          <w:szCs w:val="32"/>
          <w:u w:val="none"/>
          <w:lang w:val="en-US"/>
        </w:rPr>
        <w:t>建设</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完善商务酒店</w:t>
      </w:r>
      <w:r>
        <w:rPr>
          <w:rFonts w:hint="eastAsia" w:ascii="仿宋_GB2312" w:hAnsi="仿宋_GB2312" w:eastAsia="仿宋_GB2312" w:cs="仿宋_GB2312"/>
          <w:b w:val="0"/>
          <w:bCs w:val="0"/>
          <w:color w:val="auto"/>
          <w:sz w:val="32"/>
          <w:szCs w:val="32"/>
          <w:u w:val="none"/>
          <w:lang w:val="en-US" w:eastAsia="zh-CN"/>
        </w:rPr>
        <w:t>等</w:t>
      </w:r>
      <w:r>
        <w:rPr>
          <w:rFonts w:hint="eastAsia" w:ascii="仿宋_GB2312" w:hAnsi="仿宋_GB2312" w:eastAsia="仿宋_GB2312" w:cs="仿宋_GB2312"/>
          <w:b w:val="0"/>
          <w:bCs w:val="0"/>
          <w:color w:val="auto"/>
          <w:sz w:val="32"/>
          <w:szCs w:val="32"/>
          <w:u w:val="none"/>
          <w:lang w:val="en-US"/>
        </w:rPr>
        <w:t>配套，系统优化交通网络与市政保障，营造国际化类海外环境，全面强化对高端</w:t>
      </w:r>
      <w:r>
        <w:rPr>
          <w:rFonts w:hint="eastAsia" w:ascii="仿宋_GB2312" w:hAnsi="仿宋_GB2312" w:eastAsia="仿宋_GB2312" w:cs="仿宋_GB2312"/>
          <w:b w:val="0"/>
          <w:bCs w:val="0"/>
          <w:color w:val="auto"/>
          <w:sz w:val="32"/>
          <w:szCs w:val="32"/>
          <w:u w:val="none"/>
          <w:lang w:val="en-US" w:eastAsia="zh-CN"/>
        </w:rPr>
        <w:t>会展活动</w:t>
      </w:r>
      <w:r>
        <w:rPr>
          <w:rFonts w:hint="eastAsia" w:ascii="仿宋_GB2312" w:hAnsi="仿宋_GB2312" w:eastAsia="仿宋_GB2312" w:cs="仿宋_GB2312"/>
          <w:b w:val="0"/>
          <w:bCs w:val="0"/>
          <w:color w:val="auto"/>
          <w:sz w:val="32"/>
          <w:szCs w:val="32"/>
          <w:u w:val="none"/>
          <w:lang w:val="en-US"/>
        </w:rPr>
        <w:t>与客群的服务承载能力。未来三年，将汇聚超50家会展企业，形成涵盖</w:t>
      </w:r>
      <w:r>
        <w:rPr>
          <w:rFonts w:hint="eastAsia" w:ascii="仿宋_GB2312" w:hAnsi="仿宋_GB2312" w:eastAsia="仿宋_GB2312" w:cs="仿宋_GB2312"/>
          <w:b w:val="0"/>
          <w:bCs w:val="0"/>
          <w:color w:val="auto"/>
          <w:sz w:val="32"/>
          <w:szCs w:val="32"/>
          <w:u w:val="none"/>
          <w:lang w:val="en-US" w:eastAsia="zh-CN"/>
        </w:rPr>
        <w:t>上</w:t>
      </w:r>
      <w:r>
        <w:rPr>
          <w:rFonts w:hint="eastAsia" w:ascii="仿宋_GB2312" w:hAnsi="仿宋_GB2312" w:eastAsia="仿宋_GB2312" w:cs="仿宋_GB2312"/>
          <w:b w:val="0"/>
          <w:bCs w:val="0"/>
          <w:color w:val="auto"/>
          <w:sz w:val="32"/>
          <w:szCs w:val="32"/>
          <w:u w:val="none"/>
          <w:lang w:val="en-US"/>
        </w:rPr>
        <w:t>游策展机构、</w:t>
      </w:r>
      <w:r>
        <w:rPr>
          <w:rFonts w:hint="eastAsia" w:ascii="仿宋_GB2312" w:hAnsi="仿宋_GB2312" w:eastAsia="仿宋_GB2312" w:cs="仿宋_GB2312"/>
          <w:b w:val="0"/>
          <w:bCs w:val="0"/>
          <w:color w:val="auto"/>
          <w:sz w:val="32"/>
          <w:szCs w:val="32"/>
          <w:u w:val="none"/>
          <w:lang w:val="en-US" w:eastAsia="zh-CN"/>
        </w:rPr>
        <w:t>中</w:t>
      </w:r>
      <w:r>
        <w:rPr>
          <w:rFonts w:hint="eastAsia" w:ascii="仿宋_GB2312" w:hAnsi="仿宋_GB2312" w:eastAsia="仿宋_GB2312" w:cs="仿宋_GB2312"/>
          <w:b w:val="0"/>
          <w:bCs w:val="0"/>
          <w:color w:val="auto"/>
          <w:sz w:val="32"/>
          <w:szCs w:val="32"/>
          <w:u w:val="none"/>
          <w:lang w:val="en-US"/>
        </w:rPr>
        <w:t>游场馆、下游各类服务商的完整会展产业链体系，初步建成展产城深度融合、具有全球影响力的国际会展产业集聚区。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楷体_GB2312" w:hAnsi="楷体_GB2312" w:eastAsia="楷体_GB2312" w:cs="楷体_GB2312"/>
          <w:b w:val="0"/>
          <w:bCs w:val="0"/>
          <w:color w:val="auto"/>
          <w:sz w:val="32"/>
          <w:szCs w:val="32"/>
          <w:lang w:val="en-US"/>
        </w:rPr>
      </w:pPr>
      <w:r>
        <w:rPr>
          <w:rFonts w:hint="eastAsia" w:ascii="楷体_GB2312" w:hAnsi="楷体_GB2312" w:eastAsia="楷体_GB2312" w:cs="楷体_GB2312"/>
          <w:b w:val="0"/>
          <w:bCs w:val="0"/>
          <w:color w:val="auto"/>
          <w:sz w:val="32"/>
          <w:szCs w:val="32"/>
          <w:u w:val="none"/>
          <w:lang w:val="en-US" w:eastAsia="zh-CN"/>
        </w:rPr>
        <w:t>2.首钢园</w:t>
      </w:r>
      <w:r>
        <w:rPr>
          <w:rFonts w:hint="eastAsia" w:ascii="楷体_GB2312" w:hAnsi="楷体_GB2312" w:eastAsia="楷体_GB2312" w:cs="楷体_GB2312"/>
          <w:b w:val="0"/>
          <w:bCs w:val="0"/>
          <w:color w:val="auto"/>
          <w:sz w:val="32"/>
          <w:szCs w:val="32"/>
          <w:u w:val="none"/>
          <w:lang w:val="en-US"/>
        </w:rPr>
        <w:t>会展小镇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b w:val="0"/>
          <w:bCs w:val="0"/>
          <w:color w:val="auto"/>
          <w:sz w:val="32"/>
          <w:szCs w:val="32"/>
          <w:u w:val="none"/>
          <w:lang w:val="en-US" w:eastAsia="zh-CN"/>
        </w:rPr>
        <w:t>依托</w:t>
      </w:r>
      <w:r>
        <w:rPr>
          <w:rFonts w:hint="eastAsia" w:ascii="仿宋_GB2312" w:hAnsi="仿宋_GB2312" w:eastAsia="仿宋_GB2312" w:cs="仿宋_GB2312"/>
          <w:b w:val="0"/>
          <w:bCs w:val="0"/>
          <w:color w:val="auto"/>
          <w:sz w:val="32"/>
          <w:szCs w:val="32"/>
          <w:u w:val="none"/>
          <w:lang w:val="en-US"/>
        </w:rPr>
        <w:t>中国国际服务贸易交易会品牌</w:t>
      </w:r>
      <w:r>
        <w:rPr>
          <w:rFonts w:hint="eastAsia" w:ascii="仿宋_GB2312" w:hAnsi="仿宋_GB2312" w:eastAsia="仿宋_GB2312" w:cs="仿宋_GB2312"/>
          <w:b w:val="0"/>
          <w:bCs w:val="0"/>
          <w:color w:val="auto"/>
          <w:sz w:val="32"/>
          <w:szCs w:val="32"/>
          <w:u w:val="none"/>
          <w:lang w:val="en-US" w:eastAsia="zh-CN"/>
        </w:rPr>
        <w:t>和首钢园</w:t>
      </w:r>
      <w:r>
        <w:rPr>
          <w:rFonts w:hint="eastAsia" w:ascii="仿宋_GB2312" w:hAnsi="仿宋_GB2312" w:eastAsia="仿宋_GB2312" w:cs="仿宋_GB2312"/>
          <w:b w:val="0"/>
          <w:bCs w:val="0"/>
          <w:color w:val="auto"/>
          <w:sz w:val="32"/>
          <w:szCs w:val="32"/>
          <w:u w:val="none"/>
          <w:lang w:val="en-US"/>
        </w:rPr>
        <w:t>北区2.91平方公里的独特工业场景、丰富冬奥遗产、特色生态环境等资源禀赋，</w:t>
      </w:r>
      <w:r>
        <w:rPr>
          <w:rFonts w:hint="eastAsia" w:ascii="仿宋_GB2312" w:hAnsi="仿宋_GB2312" w:eastAsia="仿宋_GB2312" w:cs="仿宋_GB2312"/>
          <w:b w:val="0"/>
          <w:bCs w:val="0"/>
          <w:color w:val="auto"/>
          <w:sz w:val="32"/>
          <w:szCs w:val="32"/>
          <w:u w:val="none"/>
          <w:lang w:val="en-US" w:eastAsia="zh-CN"/>
        </w:rPr>
        <w:t>发展</w:t>
      </w:r>
      <w:r>
        <w:rPr>
          <w:rFonts w:hint="eastAsia" w:ascii="仿宋_GB2312" w:hAnsi="仿宋_GB2312" w:eastAsia="仿宋_GB2312" w:cs="仿宋_GB2312"/>
          <w:b w:val="0"/>
          <w:bCs w:val="0"/>
          <w:color w:val="auto"/>
          <w:sz w:val="32"/>
          <w:szCs w:val="32"/>
          <w:u w:val="none"/>
          <w:lang w:val="en-US"/>
        </w:rPr>
        <w:t>成为首发、首秀、首展、首体验的集聚高地</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集</w:t>
      </w:r>
      <w:r>
        <w:rPr>
          <w:rFonts w:hint="eastAsia" w:ascii="仿宋_GB2312" w:hAnsi="仿宋_GB2312" w:eastAsia="仿宋_GB2312" w:cs="仿宋_GB2312"/>
          <w:b w:val="0"/>
          <w:bCs w:val="0"/>
          <w:color w:val="auto"/>
          <w:sz w:val="32"/>
          <w:szCs w:val="32"/>
          <w:u w:val="none"/>
          <w:lang w:val="en-US" w:eastAsia="zh-CN"/>
        </w:rPr>
        <w:t>会展</w:t>
      </w:r>
      <w:r>
        <w:rPr>
          <w:rFonts w:hint="eastAsia" w:ascii="仿宋_GB2312" w:hAnsi="仿宋_GB2312" w:eastAsia="仿宋_GB2312" w:cs="仿宋_GB2312"/>
          <w:b w:val="0"/>
          <w:bCs w:val="0"/>
          <w:color w:val="auto"/>
          <w:sz w:val="32"/>
          <w:szCs w:val="32"/>
          <w:u w:val="none"/>
          <w:lang w:val="en-US"/>
        </w:rPr>
        <w:t>、</w:t>
      </w:r>
      <w:r>
        <w:rPr>
          <w:rFonts w:hint="eastAsia" w:ascii="仿宋_GB2312" w:hAnsi="仿宋_GB2312" w:eastAsia="仿宋_GB2312" w:cs="仿宋_GB2312"/>
          <w:b w:val="0"/>
          <w:bCs w:val="0"/>
          <w:color w:val="auto"/>
          <w:sz w:val="32"/>
          <w:szCs w:val="32"/>
          <w:u w:val="none"/>
          <w:lang w:val="en-US" w:eastAsia="zh-CN"/>
        </w:rPr>
        <w:t>赛事、</w:t>
      </w:r>
      <w:r>
        <w:rPr>
          <w:rFonts w:hint="eastAsia" w:ascii="仿宋_GB2312" w:hAnsi="仿宋_GB2312" w:eastAsia="仿宋_GB2312" w:cs="仿宋_GB2312"/>
          <w:b w:val="0"/>
          <w:bCs w:val="0"/>
          <w:color w:val="auto"/>
          <w:sz w:val="32"/>
          <w:szCs w:val="32"/>
          <w:u w:val="none"/>
          <w:lang w:val="en-US"/>
        </w:rPr>
        <w:t>游玩、购物、住宿等多功能于一体</w:t>
      </w:r>
      <w:r>
        <w:rPr>
          <w:rFonts w:hint="eastAsia" w:ascii="仿宋_GB2312" w:hAnsi="仿宋_GB2312" w:eastAsia="仿宋_GB2312" w:cs="仿宋_GB2312"/>
          <w:b w:val="0"/>
          <w:bCs w:val="0"/>
          <w:color w:val="auto"/>
          <w:sz w:val="32"/>
          <w:szCs w:val="32"/>
          <w:u w:val="none"/>
          <w:lang w:val="en-US" w:eastAsia="zh-CN"/>
        </w:rPr>
        <w:t>，打造时尚炫酷</w:t>
      </w:r>
      <w:r>
        <w:rPr>
          <w:rFonts w:hint="eastAsia" w:ascii="仿宋_GB2312" w:hAnsi="仿宋_GB2312" w:eastAsia="仿宋_GB2312" w:cs="仿宋_GB2312"/>
          <w:b w:val="0"/>
          <w:bCs w:val="0"/>
          <w:color w:val="auto"/>
          <w:sz w:val="32"/>
          <w:szCs w:val="32"/>
          <w:u w:val="none"/>
          <w:lang w:val="en-US"/>
        </w:rPr>
        <w:t>的会展小镇。</w:t>
      </w:r>
    </w:p>
    <w:p>
      <w:pPr>
        <w:keepNext w:val="0"/>
        <w:keepLines w:val="0"/>
        <w:pageBreakBefore w:val="0"/>
        <w:widowControl/>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rPr>
        <w:t>高标准建设</w:t>
      </w:r>
      <w:r>
        <w:rPr>
          <w:rFonts w:hint="eastAsia" w:ascii="仿宋_GB2312" w:hAnsi="仿宋_GB2312" w:eastAsia="仿宋_GB2312" w:cs="仿宋_GB2312"/>
          <w:b w:val="0"/>
          <w:bCs w:val="0"/>
          <w:color w:val="auto"/>
          <w:sz w:val="32"/>
          <w:szCs w:val="32"/>
          <w:u w:val="none"/>
          <w:lang w:val="en-US" w:eastAsia="zh-CN"/>
        </w:rPr>
        <w:t>会展核心承载区，</w:t>
      </w:r>
      <w:r>
        <w:rPr>
          <w:rFonts w:hint="eastAsia" w:ascii="仿宋_GB2312" w:hAnsi="仿宋_GB2312" w:eastAsia="仿宋_GB2312" w:cs="仿宋_GB2312"/>
          <w:b w:val="0"/>
          <w:bCs w:val="0"/>
          <w:color w:val="auto"/>
          <w:sz w:val="32"/>
          <w:szCs w:val="32"/>
          <w:u w:val="none"/>
          <w:lang w:val="en-US"/>
        </w:rPr>
        <w:t>科学布局中国国际服务贸易交易会核心区展览会议、商务洽谈、休闲娱乐等多元功能空间，全方位提升</w:t>
      </w:r>
      <w:r>
        <w:rPr>
          <w:rFonts w:hint="eastAsia" w:ascii="仿宋_GB2312" w:hAnsi="仿宋_GB2312" w:eastAsia="仿宋_GB2312" w:cs="仿宋_GB2312"/>
          <w:b w:val="0"/>
          <w:bCs w:val="0"/>
          <w:color w:val="auto"/>
          <w:sz w:val="32"/>
          <w:szCs w:val="32"/>
          <w:u w:val="none"/>
          <w:lang w:val="en-US" w:eastAsia="zh-CN"/>
        </w:rPr>
        <w:t>会展</w:t>
      </w:r>
      <w:r>
        <w:rPr>
          <w:rFonts w:hint="eastAsia" w:ascii="仿宋_GB2312" w:hAnsi="仿宋_GB2312" w:eastAsia="仿宋_GB2312" w:cs="仿宋_GB2312"/>
          <w:b w:val="0"/>
          <w:bCs w:val="0"/>
          <w:color w:val="auto"/>
          <w:sz w:val="32"/>
          <w:szCs w:val="32"/>
          <w:u w:val="none"/>
          <w:lang w:val="en-US"/>
        </w:rPr>
        <w:t>设施</w:t>
      </w:r>
      <w:r>
        <w:rPr>
          <w:rFonts w:hint="eastAsia" w:ascii="仿宋_GB2312" w:hAnsi="仿宋_GB2312" w:eastAsia="仿宋_GB2312" w:cs="仿宋_GB2312"/>
          <w:b w:val="0"/>
          <w:bCs w:val="0"/>
          <w:color w:val="auto"/>
          <w:sz w:val="32"/>
          <w:szCs w:val="32"/>
          <w:u w:val="none"/>
          <w:lang w:val="en-US" w:eastAsia="zh-CN"/>
        </w:rPr>
        <w:t>功能、</w:t>
      </w:r>
      <w:r>
        <w:rPr>
          <w:rFonts w:hint="eastAsia" w:ascii="仿宋_GB2312" w:hAnsi="仿宋_GB2312" w:eastAsia="仿宋_GB2312" w:cs="仿宋_GB2312"/>
          <w:b w:val="0"/>
          <w:bCs w:val="0"/>
          <w:color w:val="auto"/>
          <w:sz w:val="32"/>
          <w:szCs w:val="32"/>
          <w:u w:val="none"/>
          <w:lang w:val="en-US"/>
        </w:rPr>
        <w:t>专业化运营能力与智能化服务水平。深化产城联动发展</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以“一心多核”构建产业生态圈，围绕科幻、元宇宙、游戏、电竞、虚拟现实等在内的数字空间产业矩阵，建设北京未来数字空间创新试验区。建立会展小镇与“两园一河”滨水空间的路径关联，沿途打造沉浸式、体验式消费场景，互联互通，相互赋能</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同步升级周边交通、餐饮、住宿等综合配套</w:t>
      </w:r>
      <w:r>
        <w:rPr>
          <w:rFonts w:hint="eastAsia" w:ascii="仿宋_GB2312" w:hAnsi="仿宋_GB2312" w:eastAsia="仿宋_GB2312" w:cs="仿宋_GB2312"/>
          <w:b w:val="0"/>
          <w:bCs w:val="0"/>
          <w:color w:val="auto"/>
          <w:sz w:val="32"/>
          <w:szCs w:val="32"/>
          <w:u w:val="none"/>
          <w:lang w:val="en-US" w:eastAsia="zh-CN"/>
        </w:rPr>
        <w:t>，通过</w:t>
      </w:r>
      <w:r>
        <w:rPr>
          <w:rFonts w:hint="eastAsia" w:ascii="仿宋_GB2312" w:hAnsi="仿宋_GB2312" w:eastAsia="仿宋_GB2312" w:cs="仿宋_GB2312"/>
          <w:b w:val="0"/>
          <w:bCs w:val="0"/>
          <w:color w:val="auto"/>
          <w:sz w:val="32"/>
          <w:szCs w:val="32"/>
          <w:u w:val="none"/>
          <w:lang w:val="en-US"/>
        </w:rPr>
        <w:t>多元融合</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营造特色化消费场景</w:t>
      </w:r>
      <w:r>
        <w:rPr>
          <w:rFonts w:hint="eastAsia" w:ascii="仿宋_GB2312" w:hAnsi="仿宋_GB2312" w:eastAsia="仿宋_GB2312" w:cs="仿宋_GB2312"/>
          <w:b w:val="0"/>
          <w:bCs w:val="0"/>
          <w:color w:val="auto"/>
          <w:sz w:val="32"/>
          <w:szCs w:val="32"/>
          <w:u w:val="none"/>
          <w:lang w:val="en-US" w:eastAsia="zh-CN"/>
        </w:rPr>
        <w:t>，打造工业遗址“焕新”城市新地标</w:t>
      </w:r>
      <w:r>
        <w:rPr>
          <w:rFonts w:hint="eastAsia" w:ascii="仿宋_GB2312" w:hAnsi="仿宋_GB2312" w:eastAsia="仿宋_GB2312" w:cs="仿宋_GB2312"/>
          <w:b w:val="0"/>
          <w:bCs w:val="0"/>
          <w:color w:val="auto"/>
          <w:sz w:val="32"/>
          <w:szCs w:val="32"/>
          <w:u w:val="none"/>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3.北京展览馆</w:t>
      </w:r>
    </w:p>
    <w:p>
      <w:pPr>
        <w:keepNext w:val="0"/>
        <w:keepLines w:val="0"/>
        <w:pageBreakBefore w:val="0"/>
        <w:widowControl w:val="0"/>
        <w:kinsoku/>
        <w:wordWrap/>
        <w:overflowPunct/>
        <w:topLinePunct w:val="0"/>
        <w:autoSpaceDE/>
        <w:autoSpaceDN/>
        <w:bidi w:val="0"/>
        <w:adjustRightInd/>
        <w:snapToGrid/>
        <w:spacing w:line="560" w:lineRule="exact"/>
        <w:ind w:firstLine="604" w:firstLineChars="200"/>
        <w:contextualSpacing/>
        <w:jc w:val="both"/>
        <w:textAlignment w:val="auto"/>
        <w:rPr>
          <w:rFonts w:hint="eastAsia" w:ascii="仿宋_GB2312" w:hAnsi="仿宋_GB2312" w:eastAsia="仿宋_GB2312" w:cs="仿宋_GB2312"/>
          <w:b w:val="0"/>
          <w:bCs w:val="0"/>
          <w:color w:val="auto"/>
          <w:spacing w:val="-6"/>
          <w:sz w:val="32"/>
          <w:szCs w:val="32"/>
          <w:u w:val="none"/>
          <w:lang w:val="en-US" w:eastAsia="zh-CN"/>
        </w:rPr>
      </w:pPr>
      <w:r>
        <w:rPr>
          <w:rFonts w:hint="eastAsia" w:ascii="仿宋_GB2312" w:hAnsi="仿宋_GB2312" w:eastAsia="仿宋_GB2312" w:cs="仿宋_GB2312"/>
          <w:b w:val="0"/>
          <w:bCs w:val="0"/>
          <w:color w:val="auto"/>
          <w:spacing w:val="-6"/>
          <w:sz w:val="32"/>
          <w:szCs w:val="32"/>
          <w:u w:val="none"/>
          <w:lang w:val="en-US" w:eastAsia="zh-CN"/>
        </w:rPr>
        <w:t>充分发挥13.2万平方米环形空间优势，通过“会展+多元业态”融合发展模式，构建展览、剧场、餐饮、住宿、零售等设施布局合理，功能配置齐全的复合消费场景空间。依托2万平方米室内展厅与2700余席位的专业剧场，联动“莫系列”俄式餐饮及特色零售业态，统筹前广场、湖心岛等园区资源，打造功能复合、充满活力的开放式会展综合体。</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坚持“多元化运营”战略，以展览业务为核心，聚焦举办具有深厚圈层底蕴和高度垂直社群属性的“小而美”时尚消费类活动、文化和成果成就常设展，同时活化独特的历史建筑风貌，积极承接高端艺术展、时尚走秀及精品演出，深度融合展览、餐饮、演艺、烘焙、酒店、零售等多元业态，推动从场馆单一功能向跨界复合场景发展，创新“展会+市集”模式，充分激活室外广场空间资源。通过“双线”“延时”运营，跨时空整合资源，融合发展“会展+夜经济”，推动场馆从单一空间运营升级为复合消费场景创造者，建设湖心岛特色文创集合体验中心、火车头主题时尚消费区，打造首都文化消费供给侧优化示范地与国际消费中心城市的活力引擎。</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4.雁栖湖国际会都</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6"/>
          <w:sz w:val="32"/>
          <w:szCs w:val="32"/>
          <w:u w:val="none"/>
          <w:lang w:val="en-US"/>
        </w:rPr>
      </w:pPr>
      <w:r>
        <w:rPr>
          <w:rFonts w:hint="eastAsia" w:ascii="仿宋_GB2312" w:hAnsi="仿宋_GB2312" w:eastAsia="仿宋_GB2312" w:cs="仿宋_GB2312"/>
          <w:b w:val="0"/>
          <w:bCs w:val="0"/>
          <w:color w:val="auto"/>
          <w:sz w:val="32"/>
          <w:szCs w:val="32"/>
          <w:u w:val="none"/>
          <w:lang w:val="en-US"/>
        </w:rPr>
        <w:t>以“会展+”模式赋能产业融合，打造高端会展经济新高地，立足区域资源禀赋，以“以会</w:t>
      </w:r>
      <w:r>
        <w:rPr>
          <w:rFonts w:hint="eastAsia" w:ascii="仿宋_GB2312" w:hAnsi="仿宋_GB2312" w:eastAsia="仿宋_GB2312" w:cs="仿宋_GB2312"/>
          <w:b w:val="0"/>
          <w:bCs w:val="0"/>
          <w:color w:val="auto"/>
          <w:sz w:val="32"/>
          <w:szCs w:val="32"/>
          <w:u w:val="none"/>
          <w:lang w:val="en-US" w:eastAsia="zh-CN"/>
        </w:rPr>
        <w:t>带</w:t>
      </w:r>
      <w:r>
        <w:rPr>
          <w:rFonts w:hint="eastAsia" w:ascii="仿宋_GB2312" w:hAnsi="仿宋_GB2312" w:eastAsia="仿宋_GB2312" w:cs="仿宋_GB2312"/>
          <w:b w:val="0"/>
          <w:bCs w:val="0"/>
          <w:color w:val="auto"/>
          <w:sz w:val="32"/>
          <w:szCs w:val="32"/>
          <w:u w:val="none"/>
          <w:lang w:val="en-US"/>
        </w:rPr>
        <w:t>展”为核心抓手，深化“会展+”多元融合，持续拓展会展维度，构建起多元化、宽领域、高层次的会展经济发展新格局，为区域产业升级与经济提质注入强劲动能。坚持“平会结合”原则，</w:t>
      </w:r>
      <w:r>
        <w:rPr>
          <w:rFonts w:hint="eastAsia" w:ascii="仿宋_GB2312" w:hAnsi="仿宋_GB2312" w:eastAsia="仿宋_GB2312" w:cs="仿宋_GB2312"/>
          <w:b w:val="0"/>
          <w:bCs w:val="0"/>
          <w:color w:val="auto"/>
          <w:spacing w:val="-6"/>
          <w:sz w:val="32"/>
          <w:szCs w:val="32"/>
          <w:u w:val="none"/>
          <w:lang w:val="en-US"/>
        </w:rPr>
        <w:t>推动常态化市场化运营，积极争取外事及国内外高端资源，到2028年累计举办高端政经商科类会议</w:t>
      </w:r>
      <w:r>
        <w:rPr>
          <w:rFonts w:hint="eastAsia" w:ascii="仿宋_GB2312" w:hAnsi="仿宋_GB2312" w:eastAsia="仿宋_GB2312" w:cs="仿宋_GB2312"/>
          <w:b w:val="0"/>
          <w:bCs w:val="0"/>
          <w:color w:val="auto"/>
          <w:spacing w:val="-6"/>
          <w:sz w:val="32"/>
          <w:szCs w:val="32"/>
          <w:u w:val="none"/>
          <w:lang w:val="en-US" w:eastAsia="zh-CN"/>
        </w:rPr>
        <w:t>展览</w:t>
      </w:r>
      <w:r>
        <w:rPr>
          <w:rFonts w:hint="eastAsia" w:ascii="仿宋_GB2312" w:hAnsi="仿宋_GB2312" w:eastAsia="仿宋_GB2312" w:cs="仿宋_GB2312"/>
          <w:b w:val="0"/>
          <w:bCs w:val="0"/>
          <w:color w:val="auto"/>
          <w:spacing w:val="-6"/>
          <w:sz w:val="32"/>
          <w:szCs w:val="32"/>
          <w:u w:val="none"/>
          <w:lang w:val="en-US"/>
        </w:rPr>
        <w:t>活动300场以上，以高规格会议为牵引，带动会展业整体能级提升。</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2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none"/>
          <w:lang w:val="en-US"/>
        </w:rPr>
        <w:t>深化“会展+”融合，构建特色产业发展矩阵</w:t>
      </w:r>
      <w:r>
        <w:rPr>
          <w:rFonts w:hint="eastAsia" w:ascii="仿宋_GB2312" w:hAnsi="仿宋_GB2312" w:eastAsia="仿宋_GB2312" w:cs="仿宋_GB2312"/>
          <w:b w:val="0"/>
          <w:bCs w:val="0"/>
          <w:color w:val="auto"/>
          <w:sz w:val="32"/>
          <w:szCs w:val="32"/>
          <w:u w:val="none"/>
          <w:lang w:val="en-US" w:eastAsia="zh-CN"/>
        </w:rPr>
        <w:t>。通过</w:t>
      </w:r>
      <w:r>
        <w:rPr>
          <w:rFonts w:hint="eastAsia" w:ascii="仿宋_GB2312" w:hAnsi="仿宋_GB2312" w:eastAsia="仿宋_GB2312" w:cs="仿宋_GB2312"/>
          <w:b w:val="0"/>
          <w:bCs w:val="0"/>
          <w:color w:val="auto"/>
          <w:sz w:val="32"/>
          <w:szCs w:val="32"/>
          <w:u w:val="none"/>
          <w:lang w:val="en-US"/>
        </w:rPr>
        <w:t>“会展+科技”，筑牢科创会展品牌。依托怀柔科学城建设优势，国际基础科学大会、纳米能源与纳米系统国际会议等高品质科学会展活动实现永久落户，营造浓厚的“会展+科技”氛围，助力怀柔成为前沿科学交流的主要承载地。</w:t>
      </w:r>
      <w:r>
        <w:rPr>
          <w:rFonts w:hint="eastAsia" w:ascii="仿宋_GB2312" w:hAnsi="仿宋_GB2312" w:eastAsia="仿宋_GB2312" w:cs="仿宋_GB2312"/>
          <w:b w:val="0"/>
          <w:bCs w:val="0"/>
          <w:color w:val="auto"/>
          <w:sz w:val="32"/>
          <w:szCs w:val="32"/>
          <w:u w:val="none"/>
          <w:lang w:val="en-US" w:eastAsia="zh-CN"/>
        </w:rPr>
        <w:t>通过“</w:t>
      </w:r>
      <w:r>
        <w:rPr>
          <w:rFonts w:hint="eastAsia" w:ascii="仿宋_GB2312" w:hAnsi="仿宋_GB2312" w:eastAsia="仿宋_GB2312" w:cs="仿宋_GB2312"/>
          <w:b w:val="0"/>
          <w:bCs w:val="0"/>
          <w:color w:val="auto"/>
          <w:sz w:val="32"/>
          <w:szCs w:val="32"/>
          <w:u w:val="none"/>
          <w:lang w:val="en-US"/>
        </w:rPr>
        <w:t>会展+影视</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，打造影视会展高地</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构建“核心品牌+重磅活动+本土IP”的影视会展发展体系</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以北京国际电影节永久落户为核心引擎，持续推动北京春晚等大型影视活动落地，长效运营影都论坛等文化活动，在夯实产业基础的前提下，赋能怀柔成为具有影响力的文化传播平台。</w:t>
      </w:r>
      <w:r>
        <w:rPr>
          <w:rFonts w:hint="eastAsia" w:ascii="仿宋_GB2312" w:hAnsi="仿宋_GB2312" w:eastAsia="仿宋_GB2312" w:cs="仿宋_GB2312"/>
          <w:b w:val="0"/>
          <w:bCs w:val="0"/>
          <w:color w:val="auto"/>
          <w:sz w:val="32"/>
          <w:szCs w:val="32"/>
          <w:u w:val="none"/>
          <w:lang w:val="en-US" w:eastAsia="zh-CN"/>
        </w:rPr>
        <w:t>通过“</w:t>
      </w:r>
      <w:r>
        <w:rPr>
          <w:rFonts w:hint="eastAsia" w:ascii="仿宋_GB2312" w:hAnsi="仿宋_GB2312" w:eastAsia="仿宋_GB2312" w:cs="仿宋_GB2312"/>
          <w:b w:val="0"/>
          <w:bCs w:val="0"/>
          <w:color w:val="auto"/>
          <w:sz w:val="32"/>
          <w:szCs w:val="32"/>
          <w:u w:val="none"/>
          <w:lang w:val="en-US"/>
        </w:rPr>
        <w:t>会展+消费</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rPr>
        <w:t>，统筹融入文商旅体资源，打造高端国际化会展消费体系。引入新品发布、服装大秀等首发首秀类会展项目，激活高端消费潜力；完善雁栖小镇及周边国际化配套设施，培育特色消费新场景，与雁栖湖景区紧密联动，打造演艺、文旅、体育赛事等融合消费新地标。</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28" w:firstLineChars="200"/>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二、北京重点会展场馆发展定位</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val="en-US" w:eastAsia="zh-CN"/>
        </w:rPr>
        <w:t>1</w:t>
      </w:r>
      <w:r>
        <w:rPr>
          <w:rFonts w:hint="eastAsia" w:ascii="仿宋_GB2312" w:hAnsi="仿宋_GB2312" w:eastAsia="仿宋_GB2312" w:cs="仿宋_GB2312"/>
          <w:b w:val="0"/>
          <w:bCs w:val="0"/>
          <w:color w:val="auto"/>
          <w:spacing w:val="0"/>
          <w:sz w:val="32"/>
          <w:szCs w:val="32"/>
          <w:u w:val="none"/>
        </w:rPr>
        <w:t>.北京展览馆：立足以展览为核心，</w:t>
      </w:r>
      <w:r>
        <w:rPr>
          <w:rFonts w:hint="eastAsia" w:ascii="仿宋_GB2312" w:hAnsi="仿宋_GB2312" w:eastAsia="仿宋_GB2312" w:cs="仿宋_GB2312"/>
          <w:b w:val="0"/>
          <w:bCs w:val="0"/>
          <w:color w:val="auto"/>
          <w:spacing w:val="0"/>
          <w:sz w:val="32"/>
          <w:szCs w:val="32"/>
          <w:u w:val="none"/>
          <w:lang w:eastAsia="zh-CN"/>
        </w:rPr>
        <w:t>通过</w:t>
      </w:r>
      <w:r>
        <w:rPr>
          <w:rFonts w:hint="eastAsia" w:ascii="仿宋_GB2312" w:hAnsi="仿宋_GB2312" w:eastAsia="仿宋_GB2312" w:cs="仿宋_GB2312"/>
          <w:b w:val="0"/>
          <w:bCs w:val="0"/>
          <w:color w:val="auto"/>
          <w:spacing w:val="0"/>
          <w:sz w:val="32"/>
          <w:szCs w:val="32"/>
          <w:u w:val="none"/>
        </w:rPr>
        <w:t>“会展+文博”模式，</w:t>
      </w:r>
      <w:r>
        <w:rPr>
          <w:rFonts w:hint="eastAsia" w:ascii="仿宋_GB2312" w:hAnsi="仿宋_GB2312" w:eastAsia="仿宋_GB2312" w:cs="仿宋_GB2312"/>
          <w:b w:val="0"/>
          <w:bCs w:val="0"/>
          <w:color w:val="auto"/>
          <w:spacing w:val="0"/>
          <w:sz w:val="32"/>
          <w:szCs w:val="32"/>
          <w:u w:val="none"/>
          <w:lang w:eastAsia="zh-CN"/>
        </w:rPr>
        <w:t>聚焦承接</w:t>
      </w:r>
      <w:r>
        <w:rPr>
          <w:rFonts w:hint="eastAsia" w:ascii="仿宋_GB2312" w:hAnsi="仿宋_GB2312" w:eastAsia="仿宋_GB2312" w:cs="仿宋_GB2312"/>
          <w:b w:val="0"/>
          <w:bCs w:val="0"/>
          <w:color w:val="auto"/>
          <w:spacing w:val="0"/>
          <w:sz w:val="32"/>
          <w:szCs w:val="32"/>
          <w:u w:val="none"/>
        </w:rPr>
        <w:t>“小而美”时尚消费类活动、文化和成果成就常设展</w:t>
      </w:r>
      <w:r>
        <w:rPr>
          <w:rFonts w:hint="eastAsia" w:ascii="仿宋_GB2312" w:hAnsi="仿宋_GB2312" w:eastAsia="仿宋_GB2312" w:cs="仿宋_GB2312"/>
          <w:b w:val="0"/>
          <w:bCs w:val="0"/>
          <w:color w:val="auto"/>
          <w:spacing w:val="0"/>
          <w:sz w:val="32"/>
          <w:szCs w:val="32"/>
          <w:u w:val="none"/>
          <w:lang w:eastAsia="zh-CN"/>
        </w:rPr>
        <w:t>，融合</w:t>
      </w:r>
      <w:r>
        <w:rPr>
          <w:rFonts w:hint="eastAsia" w:ascii="仿宋_GB2312" w:hAnsi="仿宋_GB2312" w:eastAsia="仿宋_GB2312" w:cs="仿宋_GB2312"/>
          <w:b w:val="0"/>
          <w:bCs w:val="0"/>
          <w:color w:val="auto"/>
          <w:spacing w:val="0"/>
          <w:sz w:val="32"/>
          <w:szCs w:val="32"/>
          <w:u w:val="none"/>
        </w:rPr>
        <w:t>发展</w:t>
      </w:r>
      <w:r>
        <w:rPr>
          <w:rFonts w:hint="eastAsia" w:ascii="仿宋_GB2312" w:hAnsi="仿宋_GB2312" w:eastAsia="仿宋_GB2312" w:cs="仿宋_GB2312"/>
          <w:b w:val="0"/>
          <w:bCs w:val="0"/>
          <w:color w:val="auto"/>
          <w:spacing w:val="0"/>
          <w:sz w:val="32"/>
          <w:szCs w:val="32"/>
          <w:u w:val="none"/>
          <w:lang w:eastAsia="zh-CN"/>
        </w:rPr>
        <w:t>餐饮、演艺、烘焙、酒店、零售等多元业态，</w:t>
      </w:r>
      <w:r>
        <w:rPr>
          <w:rFonts w:hint="eastAsia" w:ascii="仿宋_GB2312" w:hAnsi="仿宋_GB2312" w:eastAsia="仿宋_GB2312" w:cs="仿宋_GB2312"/>
          <w:b w:val="0"/>
          <w:bCs w:val="0"/>
          <w:color w:val="auto"/>
          <w:spacing w:val="0"/>
          <w:sz w:val="32"/>
          <w:szCs w:val="32"/>
          <w:u w:val="none"/>
        </w:rPr>
        <w:t>发展风格和品质独特的文化休闲消费综合服务业务，</w:t>
      </w:r>
      <w:r>
        <w:rPr>
          <w:rFonts w:hint="eastAsia" w:ascii="仿宋_GB2312" w:hAnsi="仿宋_GB2312" w:eastAsia="仿宋_GB2312" w:cs="仿宋_GB2312"/>
          <w:b w:val="0"/>
          <w:bCs w:val="0"/>
          <w:color w:val="auto"/>
          <w:spacing w:val="0"/>
          <w:sz w:val="32"/>
          <w:szCs w:val="32"/>
          <w:u w:val="none"/>
          <w:lang w:eastAsia="zh-CN"/>
        </w:rPr>
        <w:t>打造文化消费供给侧结构优化和城市精彩生活文化产品供给创新示范地。</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rPr>
      </w:pPr>
      <w:r>
        <w:rPr>
          <w:rFonts w:hint="eastAsia" w:ascii="仿宋_GB2312" w:hAnsi="仿宋_GB2312" w:eastAsia="仿宋_GB2312" w:cs="仿宋_GB2312"/>
          <w:b w:val="0"/>
          <w:bCs w:val="0"/>
          <w:color w:val="auto"/>
          <w:spacing w:val="0"/>
          <w:sz w:val="32"/>
          <w:szCs w:val="32"/>
          <w:u w:val="none"/>
          <w:lang w:val="en-US" w:eastAsia="zh-CN"/>
        </w:rPr>
        <w:t>2</w:t>
      </w:r>
      <w:r>
        <w:rPr>
          <w:rFonts w:hint="eastAsia" w:ascii="仿宋_GB2312" w:hAnsi="仿宋_GB2312" w:eastAsia="仿宋_GB2312" w:cs="仿宋_GB2312"/>
          <w:b w:val="0"/>
          <w:bCs w:val="0"/>
          <w:color w:val="auto"/>
          <w:spacing w:val="0"/>
          <w:sz w:val="32"/>
          <w:szCs w:val="32"/>
          <w:u w:val="none"/>
        </w:rPr>
        <w:t>.国家会议中心（一期与二期）：作为首都国际交往中心功能建设的重要平台与窗口，定位承接国事政务、高端商务、精品展会等活动，其中国家会议中心二期更多承担国事政务、国家级活动和高端会议论坛。</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rPr>
      </w:pPr>
      <w:r>
        <w:rPr>
          <w:rFonts w:hint="eastAsia" w:ascii="仿宋_GB2312" w:hAnsi="仿宋_GB2312" w:eastAsia="仿宋_GB2312" w:cs="仿宋_GB2312"/>
          <w:b w:val="0"/>
          <w:bCs w:val="0"/>
          <w:color w:val="auto"/>
          <w:spacing w:val="0"/>
          <w:sz w:val="32"/>
          <w:szCs w:val="32"/>
          <w:u w:val="none"/>
          <w:lang w:val="en-US" w:eastAsia="zh-CN"/>
        </w:rPr>
        <w:t>3</w:t>
      </w:r>
      <w:r>
        <w:rPr>
          <w:rFonts w:hint="eastAsia" w:ascii="仿宋_GB2312" w:hAnsi="仿宋_GB2312" w:eastAsia="仿宋_GB2312" w:cs="仿宋_GB2312"/>
          <w:b w:val="0"/>
          <w:bCs w:val="0"/>
          <w:color w:val="auto"/>
          <w:spacing w:val="0"/>
          <w:sz w:val="32"/>
          <w:szCs w:val="32"/>
          <w:u w:val="none"/>
        </w:rPr>
        <w:t>.全国农业展览馆：立足保护传承中华农耕文化、宣传展示农业农村发展成就、丰富首都市民文化生活，定位打造农业展会首选地、艺术展会集聚地、中小展会孵化地、多元业态融合地。</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rPr>
        <w:t>4.中国国际展览中心（朝阳馆）：作为专业化大型展馆，</w:t>
      </w:r>
      <w:r>
        <w:rPr>
          <w:rFonts w:hint="eastAsia" w:ascii="仿宋_GB2312" w:hAnsi="仿宋_GB2312" w:eastAsia="仿宋_GB2312" w:cs="仿宋_GB2312"/>
          <w:b w:val="0"/>
          <w:bCs w:val="0"/>
          <w:color w:val="auto"/>
          <w:spacing w:val="0"/>
          <w:sz w:val="32"/>
          <w:szCs w:val="32"/>
          <w:u w:val="none"/>
          <w:lang w:eastAsia="zh-CN"/>
        </w:rPr>
        <w:t>立足打造</w:t>
      </w:r>
      <w:r>
        <w:rPr>
          <w:rFonts w:hint="eastAsia" w:ascii="仿宋_GB2312" w:hAnsi="仿宋_GB2312" w:eastAsia="仿宋_GB2312" w:cs="仿宋_GB2312"/>
          <w:b w:val="0"/>
          <w:bCs w:val="0"/>
          <w:color w:val="auto"/>
          <w:spacing w:val="0"/>
          <w:sz w:val="32"/>
          <w:szCs w:val="32"/>
          <w:u w:val="none"/>
        </w:rPr>
        <w:t>北京CBD区域“业展联动”与“会展+”创新模式的前沿平台</w:t>
      </w:r>
      <w:r>
        <w:rPr>
          <w:rFonts w:hint="eastAsia" w:ascii="仿宋_GB2312" w:hAnsi="仿宋_GB2312" w:eastAsia="仿宋_GB2312" w:cs="仿宋_GB2312"/>
          <w:b w:val="0"/>
          <w:bCs w:val="0"/>
          <w:color w:val="auto"/>
          <w:spacing w:val="0"/>
          <w:sz w:val="32"/>
          <w:szCs w:val="32"/>
          <w:u w:val="none"/>
          <w:lang w:eastAsia="zh-CN"/>
        </w:rPr>
        <w:t>，定位承接品牌影响力突出、市场带动性强的时尚消费类大型展会。</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val="en-US" w:eastAsia="zh-CN"/>
        </w:rPr>
        <w:t>5</w:t>
      </w:r>
      <w:r>
        <w:rPr>
          <w:rFonts w:hint="eastAsia" w:ascii="仿宋_GB2312" w:hAnsi="仿宋_GB2312" w:eastAsia="仿宋_GB2312" w:cs="仿宋_GB2312"/>
          <w:b w:val="0"/>
          <w:bCs w:val="0"/>
          <w:color w:val="auto"/>
          <w:spacing w:val="0"/>
          <w:sz w:val="32"/>
          <w:szCs w:val="32"/>
          <w:u w:val="none"/>
          <w:lang w:eastAsia="zh-CN"/>
        </w:rPr>
        <w:t>.首钢国际会展中心：立足打造以“会展小镇”为形态的体验式、聚落式会展目的地，定位承接时尚炫酷的主题性、体验性、前沿性的中大型专业展会、国际会议、品牌发布及文体娱活动。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val="en-US" w:eastAsia="zh-CN"/>
        </w:rPr>
        <w:t>6</w:t>
      </w:r>
      <w:r>
        <w:rPr>
          <w:rFonts w:hint="eastAsia" w:ascii="仿宋_GB2312" w:hAnsi="仿宋_GB2312" w:eastAsia="仿宋_GB2312" w:cs="仿宋_GB2312"/>
          <w:b w:val="0"/>
          <w:bCs w:val="0"/>
          <w:color w:val="auto"/>
          <w:spacing w:val="0"/>
          <w:sz w:val="32"/>
          <w:szCs w:val="32"/>
          <w:u w:val="none"/>
          <w:lang w:eastAsia="zh-CN"/>
        </w:rPr>
        <w:t>.首都国际会展中心：与首都国际会议中心相辅相成，形成“展+会”联动的一体化格局，联动中国国际展览中心（顺义馆）形成北京最大会展集群，定位重点承接具有国际影响力的超大型展会、新兴展及专业展等展会活动，通过深化多元融合模式，打造综合型会展平台。</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val="en-US" w:eastAsia="zh-CN"/>
        </w:rPr>
        <w:t>7</w:t>
      </w:r>
      <w:r>
        <w:rPr>
          <w:rFonts w:hint="eastAsia" w:ascii="仿宋_GB2312" w:hAnsi="仿宋_GB2312" w:eastAsia="仿宋_GB2312" w:cs="仿宋_GB2312"/>
          <w:b w:val="0"/>
          <w:bCs w:val="0"/>
          <w:color w:val="auto"/>
          <w:spacing w:val="0"/>
          <w:sz w:val="32"/>
          <w:szCs w:val="32"/>
          <w:u w:val="none"/>
          <w:lang w:eastAsia="zh-CN"/>
        </w:rPr>
        <w:t>.中国国际展览中心（顺义馆）：依托临空经济区优势，聚焦承接大型国际专业展会与产业链盛会，打造北京会展业的规模标杆与功能枢纽。依托专业的展览空间及独特的庭院式布局特色，承接大型专业展会及高端文化艺术、时尚消费类展览活动。依托成熟的联动模式，高效整合资源，提供超大型项目的一站式解决方案，打造举办国际产业盛会与高端专业国际展览的核心平台。</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val="en-US" w:eastAsia="zh-CN"/>
        </w:rPr>
        <w:t>8</w:t>
      </w:r>
      <w:r>
        <w:rPr>
          <w:rFonts w:hint="eastAsia" w:ascii="仿宋_GB2312" w:hAnsi="仿宋_GB2312" w:eastAsia="仿宋_GB2312" w:cs="仿宋_GB2312"/>
          <w:b w:val="0"/>
          <w:bCs w:val="0"/>
          <w:color w:val="auto"/>
          <w:spacing w:val="0"/>
          <w:sz w:val="32"/>
          <w:szCs w:val="32"/>
          <w:u w:val="none"/>
          <w:lang w:eastAsia="zh-CN"/>
        </w:rPr>
        <w:t>.北人亦创国际会展中心：作为南部会展核心载体，聚焦新一代信息技术产业、高端汽车和新能源智能汽车产业、生物技术和大健康产业、机器人和智能制造产业等科技领域，打造具有首都“科技”特色的一站式、专业化会展综合体。</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contextualSpacing/>
        <w:jc w:val="both"/>
        <w:textAlignment w:val="auto"/>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val="en-US" w:eastAsia="zh-CN"/>
        </w:rPr>
        <w:t>9</w:t>
      </w:r>
      <w:r>
        <w:rPr>
          <w:rFonts w:hint="eastAsia" w:ascii="仿宋_GB2312" w:hAnsi="仿宋_GB2312" w:eastAsia="仿宋_GB2312" w:cs="仿宋_GB2312"/>
          <w:b w:val="0"/>
          <w:bCs w:val="0"/>
          <w:color w:val="auto"/>
          <w:spacing w:val="0"/>
          <w:sz w:val="32"/>
          <w:szCs w:val="32"/>
          <w:u w:val="none"/>
          <w:lang w:eastAsia="zh-CN"/>
        </w:rPr>
        <w:t>.北京雁栖湖国际会展中心：立足打造“服务国际交往的首都会展新高地”与“北京首发、首秀、首展、首店的特色场馆”，定位承接对环境、品质要求高的精品展览、企业年会、颁奖典礼、品牌发布、学术研讨会等活动。</w:t>
      </w:r>
    </w:p>
    <w:p>
      <w:pPr>
        <w:pStyle w:val="5"/>
        <w:pageBreakBefore w:val="0"/>
        <w:kinsoku/>
        <w:wordWrap/>
        <w:overflowPunct/>
        <w:topLinePunct w:val="0"/>
        <w:autoSpaceDE/>
        <w:autoSpaceDN/>
        <w:bidi w:val="0"/>
        <w:spacing w:after="0" w:line="560" w:lineRule="exact"/>
        <w:ind w:firstLine="628" w:firstLineChars="200"/>
        <w:textAlignment w:val="auto"/>
        <w:rPr>
          <w:rFonts w:hint="default"/>
          <w:color w:val="auto"/>
          <w:sz w:val="32"/>
          <w:szCs w:val="32"/>
          <w:lang w:val="en-US" w:eastAsia="zh-CN"/>
        </w:rPr>
      </w:pPr>
      <w:r>
        <w:rPr>
          <w:rFonts w:hint="eastAsia" w:ascii="仿宋_GB2312" w:hAnsi="仿宋_GB2312" w:eastAsia="仿宋_GB2312" w:cs="仿宋_GB2312"/>
          <w:b w:val="0"/>
          <w:bCs w:val="0"/>
          <w:color w:val="auto"/>
          <w:spacing w:val="0"/>
          <w:sz w:val="32"/>
          <w:szCs w:val="32"/>
          <w:u w:val="none"/>
          <w:lang w:val="en-US" w:eastAsia="zh-CN"/>
        </w:rPr>
        <w:t>10</w:t>
      </w:r>
      <w:r>
        <w:rPr>
          <w:rFonts w:hint="eastAsia" w:ascii="仿宋_GB2312" w:hAnsi="仿宋_GB2312" w:eastAsia="仿宋_GB2312" w:cs="仿宋_GB2312"/>
          <w:b w:val="0"/>
          <w:bCs w:val="0"/>
          <w:color w:val="auto"/>
          <w:spacing w:val="0"/>
          <w:sz w:val="32"/>
          <w:szCs w:val="32"/>
          <w:u w:val="none"/>
          <w:lang w:eastAsia="zh-CN"/>
        </w:rPr>
        <w:t>.金海湖国际会展中心：作为平谷区地标性综合会展设施，聚焦打造“国际会议会展小镇”核心载体，定位承接教育培训、宠物经济、农业科技、体育休闲等多元活动，融合发展促进“会展+文旅+体育”多业态。</w:t>
      </w:r>
    </w:p>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ind w:firstLine="274" w:firstLineChars="100"/>
        <w:rPr>
          <w:rFonts w:hint="eastAsia" w:ascii="仿宋_GB2312" w:hAnsi="仿宋_GB2312" w:eastAsia="仿宋_GB2312" w:cs="仿宋_GB2312"/>
          <w:sz w:val="28"/>
          <w:szCs w:val="28"/>
        </w:rPr>
      </w:pPr>
    </w:p>
    <w:p/>
    <w:sectPr>
      <w:footerReference r:id="rId3" w:type="default"/>
      <w:footerReference r:id="rId4" w:type="even"/>
      <w:pgSz w:w="11906" w:h="16838"/>
      <w:pgMar w:top="2098" w:right="1474" w:bottom="1984" w:left="1588" w:header="851" w:footer="992" w:gutter="0"/>
      <w:pgNumType w:fmt="numberInDash" w:start="2"/>
      <w:cols w:space="720" w:num="1"/>
      <w:rtlGutter w:val="0"/>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Droid Sans">
    <w:altName w:val="华文新魏"/>
    <w:panose1 w:val="00000000000000000000"/>
    <w:charset w:val="00"/>
    <w:family w:val="auto"/>
    <w:pitch w:val="default"/>
    <w:sig w:usb0="00000000" w:usb1="00000000" w:usb2="00000000" w:usb3="00000000" w:csb0="00040001" w:csb1="00000000"/>
  </w:font>
  <w:font w:name="Luxi Sans">
    <w:altName w:val="华文新魏"/>
    <w:panose1 w:val="00000000000000000000"/>
    <w:charset w:val="00"/>
    <w:family w:val="auto"/>
    <w:pitch w:val="default"/>
    <w:sig w:usb0="00000000" w:usb1="00000000" w:usb2="00000000" w:usb3="00000000" w:csb0="00040001" w:csb1="00000000"/>
  </w:font>
  <w:font w:name="荣耀黑体">
    <w:altName w:val="黑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6E957"/>
    <w:rsid w:val="3FFFCE0A"/>
    <w:rsid w:val="55782393"/>
    <w:rsid w:val="5E87FE32"/>
    <w:rsid w:val="7EB6E957"/>
    <w:rsid w:val="FBDC1A06"/>
    <w:rsid w:val="FEEEF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2">
    <w:name w:val="heading 1"/>
    <w:basedOn w:val="1"/>
    <w:next w:val="1"/>
    <w:qFormat/>
    <w:uiPriority w:val="0"/>
    <w:pPr>
      <w:keepNext/>
      <w:keepLines/>
      <w:widowControl w:val="0"/>
      <w:spacing w:before="240"/>
      <w:outlineLvl w:val="0"/>
    </w:pPr>
    <w:rPr>
      <w:rFonts w:ascii="Droid Sans"/>
      <w:b/>
      <w:kern w:val="2"/>
      <w:sz w:val="32"/>
      <w:szCs w:val="40"/>
      <w:lang w:val="en-US"/>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link w:val="13"/>
    <w:qFormat/>
    <w:uiPriority w:val="0"/>
    <w:pPr>
      <w:keepNext/>
      <w:keepLines/>
      <w:spacing w:before="260" w:after="260" w:line="415"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before="0" w:after="140" w:line="276" w:lineRule="auto"/>
    </w:pPr>
  </w:style>
  <w:style w:type="paragraph" w:customStyle="1" w:styleId="6">
    <w:name w:val="正文文本 21"/>
    <w:basedOn w:val="1"/>
    <w:qFormat/>
    <w:uiPriority w:val="0"/>
    <w:pPr>
      <w:spacing w:after="120" w:line="480" w:lineRule="auto"/>
      <w:ind w:firstLine="0" w:firstLineChars="0"/>
    </w:pPr>
    <w:rPr>
      <w:rFonts w:ascii="Calibri" w:hAnsi="Calibri" w:eastAsia="宋体" w:cs="Times New Roman"/>
      <w:sz w:val="21"/>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character" w:styleId="12">
    <w:name w:val="footnote reference"/>
    <w:basedOn w:val="11"/>
    <w:qFormat/>
    <w:uiPriority w:val="0"/>
    <w:rPr>
      <w:vertAlign w:val="superscript"/>
    </w:rPr>
  </w:style>
  <w:style w:type="character" w:customStyle="1" w:styleId="13">
    <w:name w:val="标题 3 Char"/>
    <w:link w:val="4"/>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8948</Words>
  <Characters>9060</Characters>
  <Lines>0</Lines>
  <Paragraphs>0</Paragraphs>
  <TotalTime>25</TotalTime>
  <ScaleCrop>false</ScaleCrop>
  <LinksUpToDate>false</LinksUpToDate>
  <CharactersWithSpaces>9066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2026-03-27T14:58:00Z</dcterms:created>
  <dc:creator>uos</dc:creator>
  <cp:lastModifiedBy>丁雅婷</cp:lastModifiedBy>
  <dcterms:modified xsi:type="dcterms:W3CDTF">2026-03-30T02:04:35Z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E9994F48CF834885A976B1008C6ED2E4</vt:lpwstr>
  </property>
</Properties>
</file>